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392</w:t>
      </w:r>
    </w:p>
    <w:p>
      <w:r>
        <w:t>Bundesgericht (BGE), 1992-12-22, DE</w:t>
      </w:r>
    </w:p>
    <w:p>
      <w:r>
        <w:rPr>
          <w:b/>
        </w:rPr>
        <w:t xml:space="preserve">Quelle: </w:t>
      </w:r>
      <w:r>
        <w:t>https://mcp.opencaselaw.ch/entscheid/bge_118 II 392</w:t>
      </w:r>
    </w:p>
    <w:p>
      <w:r>
        <w:t>FR: ATF 118 II 392</w:t>
      </w:r>
    </w:p>
    <w:p>
      <w:r>
        <w:t>IT: DTF 118 II 392</w:t>
      </w:r>
    </w:p>
    <w:p>
      <w:pPr>
        <w:pStyle w:val="Heading2"/>
      </w:pPr>
      <w:r>
        <w:t>Regeste</w:t>
      </w:r>
    </w:p>
    <w:p>
      <w:r>
        <w:t>Regeste Vollstreckung des Besuchsrechtes (Art. 273 ZGB). 1. Die Vollstreckung eines Besuchs- und Ferienrechts richtet sich nach kantonalem Verfahrensrecht. 2. Der Besuchsberechtigte hat konkret die Übergabe der Kinder gemäss den im Urteil festgelegten Modalitäten zu verlangen. 3. Sobald eine Klage auf Abänderung des Scheidungsurteils in bezug auf das Besuchsrecht eingereicht worden ist, ist es nicht willkürlich, dessen Vollstreckung zu verweigern.</w:t>
      </w:r>
    </w:p>
    <w:p>
      <w:pPr>
        <w:pStyle w:val="Heading2"/>
      </w:pPr>
      <w:r>
        <w:t>Erwägungen</w:t>
      </w:r>
    </w:p>
    <w:p>
      <w:r>
        <w:rPr>
          <w:b/>
        </w:rPr>
        <w:t>E. 4</w:t>
      </w:r>
    </w:p>
    <w:p>
      <w:r>
        <w:t>Der Beschwerdeführer rügt im wesentlichen die willkürliche Anwendung kantonalen Verfahrensrechts, die Verletzung seines rechtlichen Gehörs und eine willkürliche Beweiswürdigung. a) Die Vollstreckung eines Besuchs- und Ferienrechts ist gemäss kantonalem Verfahrensrecht vorzunehmen (VOGEL, Grundriss des Zivilprozessrechts, 3. A. Bern 1992, S. 376 N 7). Dabei hat der Besuchsberechtigte konkret die Übergabe der Kinder gemäss den im Urteil festgelegten Modalitäten wie Zeitpunkt und Dauer zu verlangen (BÜHLER/SPÜHLER, Art. 156 ZGB N 354, N 355). Damit ist aber noch nicht gesagt, dass im Falle der Weigerung der Kinder, ihren Vater zu besuchen, direkter Zwang zur Anwendung gelangen könnte ( BGE 111 II 409 ; VOGEL, a.a.O., S. 382 N 29). Im vorliegenden Falle sind die Begehren derart unbestimmt abgefasst, dass es - im Falle einer Gutheissung - nicht möglich wäre, deren tatsächliche Einhaltung zu überprüfen und eine allenfalls angedrohte Strafe zu verhängen. Bereits unter diesem Gesichtspunkt ist es somit nicht willkürlich, wenn die kantonale Instanz eine Vollstreckung der eingereichten Begehren verweigert hat. b) Entgegen der Auffassung des Beschwerdeführers ist Art. 399 ZPO /BE durch das angefochtene Urteil nicht willkürlich angewendet worden. Die genannte Bestimmung gewährleistet die Hilfe der Beamten bei der Durchsetzung von Urteilen, sobald die Bedingungen der Vollstreckung gegeben sind. Gerade letzteres ist im vorliegenden Falle jedoch umstritten. Wie das Vollstreckungsbegehren an sich abzufassen ist, darüber spricht sich Art. 399 ZPO /BE nicht aus. Weshalb die kantonale Instanz hier dennoch kantonales Verfahrensrecht willkürlich angewendet haben soll, wird in der Beschwerdeschrift nicht dargelegt. c) Ist im gleichen Zeitraum bezüglich des Besuchsrechts ein Vollstreckungsbegehren und eine Klage auf Abänderung des BGE 118 II 392 S. 394 Scheidungsurteils eingereicht worden, so ist es - entgegen der Meinung des Beschwerdeführers - nicht willkürlich, wenn die Vollstreckung während der Dauer eines Abänderungsverfahrens verweigert wird ( BGE 107 II 305 ), auch wenn mit einem Entscheid erst in sechs Monaten gerechnet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